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ECBCB" w14:textId="0FC63C23" w:rsidR="008F51C0" w:rsidRPr="00481C1C" w:rsidRDefault="00194439" w:rsidP="00194439">
      <w:pPr>
        <w:jc w:val="both"/>
        <w:rPr>
          <w:rFonts w:asciiTheme="majorHAnsi" w:hAnsiTheme="majorHAnsi" w:cstheme="majorHAnsi"/>
          <w:color w:val="262626" w:themeColor="text1" w:themeTint="D9"/>
          <w:sz w:val="17"/>
        </w:rPr>
      </w:pPr>
      <w:r w:rsidRPr="00481C1C">
        <w:rPr>
          <w:rFonts w:asciiTheme="majorHAnsi" w:hAnsiTheme="majorHAnsi" w:cstheme="majorHAnsi"/>
          <w:noProof/>
          <w:color w:val="262626" w:themeColor="text1" w:themeTint="D9"/>
          <w:sz w:val="17"/>
        </w:rPr>
        <w:drawing>
          <wp:anchor distT="0" distB="0" distL="114300" distR="114300" simplePos="0" relativeHeight="251658752" behindDoc="1" locked="0" layoutInCell="1" allowOverlap="1" wp14:anchorId="5EC446D9" wp14:editId="2A902014">
            <wp:simplePos x="0" y="0"/>
            <wp:positionH relativeFrom="column">
              <wp:posOffset>5547360</wp:posOffset>
            </wp:positionH>
            <wp:positionV relativeFrom="paragraph">
              <wp:posOffset>12065</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481C1C" w:rsidRPr="00481C1C">
        <w:rPr>
          <w:rFonts w:asciiTheme="majorHAnsi" w:hAnsiTheme="majorHAnsi" w:cstheme="majorHAnsi" w:ascii="Aptos" w:hAnsi="Aptos"/>
          <w:b w:val="0"/>
          <w:color w:val="262626"/>
          <w:sz w:val="17"/>
        </w:rPr>
        <w:t>NATIONAL ROAD TRAUMA CENTRE RESOURCE HUB  |  RESOURCE 10</w:t>
      </w:r>
      <w:proofErr w:type="gramStart"/>
      <w:r w:rsidR="00481C1C" w:rsidRPr="00481C1C">
        <w:rPr>
          <w:rFonts w:asciiTheme="majorHAnsi" w:hAnsiTheme="majorHAnsi" w:cstheme="majorHAnsi"/>
          <w:color w:val="262626" w:themeColor="text1" w:themeTint="D9"/>
          <w:sz w:val="17"/>
        </w:rPr>
      </w:r>
      <w:proofErr w:type="gramEnd"/>
      <w:r w:rsidR="00481C1C" w:rsidRPr="00481C1C">
        <w:rPr>
          <w:rFonts w:asciiTheme="majorHAnsi" w:hAnsiTheme="majorHAnsi" w:cstheme="majorHAnsi"/>
          <w:color w:val="262626" w:themeColor="text1" w:themeTint="D9"/>
          <w:sz w:val="17"/>
        </w:rPr>
      </w:r>
    </w:p>
    <w:p w14:paraId="3574A4FF" w14:textId="506AA94F" w:rsidR="00194439" w:rsidRDefault="00194439">
      <w:pPr>
        <w:pStyle w:val="Title"/>
      </w:pPr>
    </w:p>
    <w:p w14:paraId="7F6D53C0" w14:textId="7BB8A58C" w:rsidR="00194439" w:rsidRDefault="00194439">
      <w:pPr>
        <w:pStyle w:val="Title"/>
      </w:pPr>
    </w:p>
    <w:p>
      <w:pPr>
        <w:pStyle w:val="Title"/>
        <w:spacing w:before="40" w:after="160"/>
      </w:pPr>
      <w:r>
        <w:rPr>
          <w:rFonts w:ascii="Georgia Pro" w:hAnsi="Georgia Pro"/>
          <w:b w:val="0"/>
          <w:color w:val="000000"/>
          <w:sz w:val="50"/>
        </w:rPr>
        <w:t>How Road Trauma Affects the Body</w:t>
      </w:r>
    </w:p>
    <w:p>
      <w:pPr>
        <w:spacing w:after="160"/>
        <w:jc w:val="both"/>
      </w:pPr>
      <w:r>
        <w:rPr>
          <w:rFonts w:ascii="Aptos" w:hAnsi="Aptos"/>
          <w:color w:val="A67C00"/>
          <w:sz w:val="20"/>
        </w:rPr>
        <w:t>In a crash, the body may be forced to stop, twist or change direction suddenly, causing injuries that are not always visible.</w:t>
      </w:r>
    </w:p>
    <w:p>
      <w:pPr>
        <w:spacing w:after="120" w:line="240" w:lineRule="auto"/>
        <w:jc w:val="both"/>
      </w:pPr>
      <w:r>
        <w:rPr>
          <w:rFonts w:ascii="Aptos" w:hAnsi="Aptos"/>
          <w:color w:val="202020"/>
          <w:sz w:val="20"/>
        </w:rPr>
        <w:t>The body continues moving until something restrains or stops it. Seatbelts, airbags, helmets, vehicle structure and roadside protection are designed to manage this energy, but the forces in a crash can still injure several parts of the body at once.</w:t>
      </w:r>
    </w:p>
    <w:p>
      <w:pPr>
        <w:pStyle w:val="Heading1"/>
        <w:keepNext/>
        <w:spacing w:before="160" w:after="60"/>
        <w:jc w:val="both"/>
      </w:pPr>
      <w:r>
        <w:rPr>
          <w:rFonts w:ascii="Georgia Pro" w:hAnsi="Georgia Pro"/>
          <w:b w:val="0"/>
          <w:color w:val="000000"/>
          <w:sz w:val="28"/>
        </w:rPr>
        <w:t>How Injury Happens</w:t>
      </w:r>
    </w:p>
    <w:p>
      <w:pPr>
        <w:pStyle w:val="ListBullet"/>
        <w:spacing w:after="40" w:line="240" w:lineRule="auto"/>
        <w:ind w:left="312" w:hanging="159"/>
        <w:jc w:val="both"/>
      </w:pPr>
      <w:r>
        <w:rPr>
          <w:rFonts w:ascii="Aptos" w:hAnsi="Aptos"/>
          <w:color w:val="202020"/>
          <w:sz w:val="20"/>
        </w:rPr>
        <w:t>A direct impact can damage skin, muscles, bones, organs and blood vessels.</w:t>
      </w:r>
    </w:p>
    <w:p>
      <w:pPr>
        <w:pStyle w:val="ListBullet"/>
        <w:spacing w:after="40" w:line="240" w:lineRule="auto"/>
        <w:ind w:left="312" w:hanging="159"/>
        <w:jc w:val="both"/>
      </w:pPr>
      <w:r>
        <w:rPr>
          <w:rFonts w:ascii="Aptos" w:hAnsi="Aptos"/>
          <w:color w:val="202020"/>
          <w:sz w:val="20"/>
        </w:rPr>
        <w:t>Rapid movement or rotation can stretch, compress or tear tissues, including in the brain, neck and spine.</w:t>
      </w:r>
    </w:p>
    <w:p>
      <w:pPr>
        <w:pStyle w:val="ListBullet"/>
        <w:spacing w:after="40" w:line="240" w:lineRule="auto"/>
        <w:ind w:left="312" w:hanging="159"/>
        <w:jc w:val="both"/>
      </w:pPr>
      <w:r>
        <w:rPr>
          <w:rFonts w:ascii="Aptos" w:hAnsi="Aptos"/>
          <w:color w:val="202020"/>
          <w:sz w:val="20"/>
        </w:rPr>
        <w:t>An unrestrained person can strike the vehicle interior or be thrown from the vehicle, greatly increasing exposure to harmful forces.</w:t>
      </w:r>
    </w:p>
    <w:p>
      <w:pPr>
        <w:pStyle w:val="ListBullet"/>
        <w:spacing w:after="40" w:line="240" w:lineRule="auto"/>
        <w:ind w:left="312" w:hanging="159"/>
        <w:jc w:val="both"/>
      </w:pPr>
      <w:r>
        <w:rPr>
          <w:rFonts w:ascii="Aptos" w:hAnsi="Aptos"/>
          <w:color w:val="202020"/>
          <w:sz w:val="20"/>
        </w:rPr>
        <w:t>The type of crash, speed, direction of impact, vehicle protection, restraint use, age and health all influence injury.</w:t>
      </w:r>
    </w:p>
    <w:p>
      <w:pPr>
        <w:pStyle w:val="Heading1"/>
        <w:keepNext/>
        <w:spacing w:before="160" w:after="60"/>
        <w:jc w:val="both"/>
      </w:pPr>
      <w:r>
        <w:rPr>
          <w:rFonts w:ascii="Georgia Pro" w:hAnsi="Georgia Pro"/>
          <w:b w:val="0"/>
          <w:color w:val="000000"/>
          <w:sz w:val="28"/>
        </w:rPr>
        <w:t>Injuries May Affect More Than One Area</w:t>
      </w:r>
    </w:p>
    <w:p>
      <w:pPr>
        <w:spacing w:after="80" w:line="240" w:lineRule="auto"/>
        <w:jc w:val="both"/>
      </w:pPr>
      <w:r>
        <w:rPr>
          <w:rFonts w:ascii="Aptos" w:hAnsi="Aptos"/>
          <w:color w:val="202020"/>
          <w:sz w:val="20"/>
        </w:rPr>
        <w:t>Road trauma can involve the head and brain, face, chest, abdomen, pelvis, spine and limbs. Bleeding, swelling or reduced oxygen can also affect the body after the initial impact. Some injuries are immediately obvious; others are found through monitoring, examination or imaging.</w:t>
      </w:r>
    </w:p>
    <w:p>
      <w:pPr>
        <w:pStyle w:val="Heading1"/>
        <w:keepNext/>
        <w:spacing w:before="160" w:after="60"/>
        <w:jc w:val="both"/>
      </w:pPr>
      <w:r>
        <w:rPr>
          <w:rFonts w:ascii="Georgia Pro" w:hAnsi="Georgia Pro"/>
          <w:b w:val="0"/>
          <w:color w:val="000000"/>
          <w:sz w:val="28"/>
        </w:rPr>
        <w:t>Signs That Need Urgent Help</w:t>
      </w:r>
    </w:p>
    <w:p>
      <w:pPr>
        <w:spacing w:after="80" w:line="240" w:lineRule="auto"/>
        <w:jc w:val="both"/>
      </w:pPr>
      <w:r>
        <w:rPr>
          <w:rFonts w:ascii="Aptos" w:hAnsi="Aptos"/>
          <w:color w:val="202020"/>
          <w:sz w:val="20"/>
        </w:rPr>
        <w:t>Call 111 if a person may be seriously injured, is unconscious or confused, has difficulty breathing, severe bleeding, weakness or numbness, worsening pain, repeated vomiting, a seizure, or any rapid deterioration. Follow the call-taker’s instructions.</w:t>
      </w:r>
    </w:p>
    <w:p>
      <w:pPr>
        <w:pStyle w:val="Heading1"/>
        <w:keepNext/>
        <w:spacing w:before="160" w:after="60"/>
        <w:jc w:val="both"/>
      </w:pPr>
      <w:r>
        <w:t>How the Safe System and Patient-Centred Care Work Together</w:t>
      </w:r>
    </w:p>
    <w:p>
      <w:pPr>
        <w:spacing w:after="80" w:line="240" w:lineRule="auto"/>
        <w:jc w:val="both"/>
      </w:pPr>
      <w:r>
        <w:t>The safe system reduces the forces that can injure the body through safer roads, safer speeds, safer vehicles and safe road use. After a crash, patient-centred care connects ambulance, hospital teams, diagnostic services, primary care, rehabilitation and other support. When these services share information and coordinate decisions, injuries are less likely to be missed and the person can receive the best possible care from emergency treatment through recovery.</w:t>
      </w:r>
    </w:p>
    <w:p>
      <w:r>
        <w:br w:type="page"/>
      </w:r>
    </w:p>
    <w:p>
      <w:pPr>
        <w:spacing w:after="40"/>
        <w:jc w:val="center"/>
      </w:pPr>
      <w:r>
        <w:drawing>
          <wp:inline xmlns:a="http://schemas.openxmlformats.org/drawingml/2006/main" xmlns:pic="http://schemas.openxmlformats.org/drawingml/2006/picture">
            <wp:extent cx="3311999" cy="2207999"/>
            <wp:docPr id="1845658685" name="Picture 1845658685" descr="Patient-centred care model showing the person surrounded by connected health, care, rehabilitation, wellbeing and system services"/>
            <wp:cNvGraphicFramePr>
              <a:graphicFrameLocks noChangeAspect="1"/>
            </wp:cNvGraphicFramePr>
            <a:graphic>
              <a:graphicData uri="http://schemas.openxmlformats.org/drawingml/2006/picture">
                <pic:pic>
                  <pic:nvPicPr>
                    <pic:cNvPr id="0" name="Untitled (600 x 400 px) (2).png"/>
                    <pic:cNvPicPr/>
                  </pic:nvPicPr>
                  <pic:blipFill>
                    <a:blip r:embed="rId18"/>
                    <a:stretch>
                      <a:fillRect/>
                    </a:stretch>
                  </pic:blipFill>
                  <pic:spPr>
                    <a:xfrm>
                      <a:off x="0" y="0"/>
                      <a:ext cx="3311999" cy="2207999"/>
                    </a:xfrm>
                    <a:prstGeom prst="rect"/>
                  </pic:spPr>
                </pic:pic>
              </a:graphicData>
            </a:graphic>
          </wp:inline>
        </w:drawing>
      </w:r>
    </w:p>
    <w:p>
      <w:pPr>
        <w:spacing w:after="20"/>
      </w:pPr>
      <w:r>
        <w:rPr>
          <w:rFonts w:ascii="Aptos" w:hAnsi="Aptos"/>
          <w:b/>
          <w:color w:val="202020"/>
          <w:sz w:val="18"/>
        </w:rPr>
        <w:t>Figure 1. Patient Centred Care Approach</w:t>
      </w:r>
    </w:p>
    <w:p>
      <w:pPr>
        <w:spacing w:after="20" w:line="240" w:lineRule="auto"/>
        <w:jc w:val="both"/>
      </w:pPr>
      <w:r>
        <w:t>Patient-centred care works best when the patient is supported to understand and make decisions about their care, and all health professionals involved communicate and work together. This keeps the patient at the centre and helps ensure their care reflects their needs, circumstances and recovery goals.</w:t>
      </w:r>
    </w:p>
    <w:p>
      <w:pPr>
        <w:spacing w:after="40"/>
      </w:pPr>
      <w:r>
        <w:rPr>
          <w:rFonts w:ascii="Aptos" w:hAnsi="Aptos"/>
          <w:i/>
          <w:color w:val="202020"/>
          <w:sz w:val="17"/>
        </w:rPr>
        <w:t>Adapted by the National Road Trauma Centre (2019) from patient-centred care and integrated care principles.</w:t>
      </w:r>
    </w:p>
    <w:p>
      <w:pPr>
        <w:spacing w:after="120"/>
      </w:pPr>
      <w:r>
        <w:rPr>
          <w:rFonts w:ascii="Aptos" w:hAnsi="Aptos"/>
          <w:i/>
          <w:color w:val="202020"/>
          <w:sz w:val="17"/>
        </w:rPr>
        <w:t>Source: National Road Trauma Centre (2019).</w:t>
      </w:r>
    </w:p>
    <w:p>
      <w:pPr>
        <w:pStyle w:val="Heading1"/>
        <w:keepNext/>
        <w:spacing w:before="160" w:after="60"/>
        <w:jc w:val="both"/>
      </w:pPr>
      <w:r>
        <w:rPr>
          <w:rFonts w:ascii="Georgia Pro" w:hAnsi="Georgia Pro"/>
          <w:b w:val="0"/>
          <w:color w:val="000000"/>
          <w:sz w:val="28"/>
        </w:rPr>
        <w:t>About This Resource</w:t>
      </w:r>
    </w:p>
    <w:p>
      <w:pPr>
        <w:spacing w:after="80" w:line="240" w:lineRule="auto"/>
        <w:jc w:val="both"/>
      </w:pPr>
      <w:r>
        <w:rPr>
          <w:rFonts w:ascii="Aptos" w:hAnsi="Aptos"/>
          <w:color w:val="202020"/>
          <w:sz w:val="20"/>
        </w:rPr>
        <w:t>This resource provides general public information informed by current evidence and official New Zealand guidance. The National Road Trauma Centre supports current New Zealand legislation, government guidance and evidence-based practice.</w:t>
      </w:r>
    </w:p>
    <w:p>
      <w:pPr>
        <w:pStyle w:val="Heading1"/>
        <w:keepNext/>
        <w:spacing w:before="160" w:after="60"/>
        <w:jc w:val="both"/>
      </w:pPr>
      <w:r>
        <w:rPr>
          <w:rFonts w:ascii="Georgia Pro" w:hAnsi="Georgia Pro"/>
          <w:b w:val="0"/>
          <w:color w:val="000000"/>
          <w:sz w:val="28"/>
        </w:rPr>
        <w:t>References</w:t>
      </w:r>
    </w:p>
    <w:p>
      <w:pPr>
        <w:pStyle w:val="Source"/>
        <w:spacing w:after="40"/>
      </w:pPr>
      <w:r>
        <w:rPr>
          <w:rFonts w:ascii="Aptos" w:hAnsi="Aptos"/>
          <w:b/>
          <w:color w:val="4D4D4D"/>
          <w:sz w:val="16"/>
        </w:rPr>
        <w:t xml:space="preserve">NZ Transport Agency Waka Kotahi. (n.d.). </w:t>
      </w:r>
      <w:hyperlink r:id="rId11">
        <w:r>
          <w:rPr>
            <w:color w:val="17365D"/>
            <w:u w:val="single"/>
            <w:i/>
            <w:rFonts w:ascii="Aptos" w:hAnsi="Aptos"/>
            <w:sz w:val="16"/>
          </w:rPr>
          <w:t>Creating a safe road system</w:t>
        </w:r>
      </w:hyperlink>
      <w:r>
        <w:rPr>
          <w:rFonts w:ascii="Aptos" w:hAnsi="Aptos"/>
          <w:color w:val="4D4D4D"/>
          <w:sz w:val="16"/>
        </w:rPr>
        <w:t>.</w:t>
      </w:r>
    </w:p>
    <w:p>
      <w:pPr>
        <w:pStyle w:val="Source"/>
        <w:spacing w:after="40"/>
      </w:pPr>
      <w:r>
        <w:rPr>
          <w:rFonts w:ascii="Aptos" w:hAnsi="Aptos"/>
          <w:b/>
          <w:color w:val="4D4D4D"/>
          <w:sz w:val="16"/>
        </w:rPr>
        <w:t xml:space="preserve">Health New Zealand. (2026). </w:t>
      </w:r>
      <w:hyperlink r:id="rId19">
        <w:r>
          <w:rPr>
            <w:color w:val="17365D"/>
            <w:u w:val="single"/>
            <w:i/>
            <w:rFonts w:ascii="Aptos" w:hAnsi="Aptos"/>
            <w:sz w:val="16"/>
          </w:rPr>
          <w:t>Major trauma annual report 2024/25</w:t>
        </w:r>
      </w:hyperlink>
      <w:r>
        <w:rPr>
          <w:rFonts w:ascii="Aptos" w:hAnsi="Aptos"/>
          <w:color w:val="4D4D4D"/>
          <w:sz w:val="16"/>
        </w:rPr>
        <w:t>.</w:t>
      </w:r>
    </w:p>
    <w:p>
      <w:pPr>
        <w:pStyle w:val="Source"/>
        <w:spacing w:after="40"/>
      </w:pPr>
      <w:r>
        <w:rPr>
          <w:rFonts w:ascii="Aptos" w:hAnsi="Aptos"/>
          <w:b/>
          <w:color w:val="4D4D4D"/>
          <w:sz w:val="16"/>
        </w:rPr>
        <w:t xml:space="preserve">Health New Zealand. (2026). </w:t>
      </w:r>
      <w:hyperlink r:id="rId20">
        <w:r>
          <w:rPr>
            <w:color w:val="17365D"/>
            <w:u w:val="single"/>
            <w:i/>
            <w:rFonts w:ascii="Aptos" w:hAnsi="Aptos"/>
            <w:sz w:val="16"/>
          </w:rPr>
          <w:t>Emergency departments</w:t>
        </w:r>
      </w:hyperlink>
      <w:r>
        <w:rPr>
          <w:rFonts w:ascii="Aptos" w:hAnsi="Aptos"/>
          <w:color w:val="4D4D4D"/>
          <w:sz w:val="16"/>
        </w:rPr>
        <w:t>.</w:t>
      </w:r>
    </w:p>
    <w:p>
      <w:pPr>
        <w:pStyle w:val="Source"/>
        <w:spacing w:after="40"/>
      </w:pPr>
      <w:r>
        <w:rPr>
          <w:rFonts w:ascii="Aptos" w:hAnsi="Aptos"/>
          <w:b/>
          <w:color w:val="4D4D4D"/>
          <w:sz w:val="16"/>
        </w:rPr>
        <w:t xml:space="preserve">New Zealand Police. (n.d.). </w:t>
      </w:r>
      <w:hyperlink r:id="rId21">
        <w:r>
          <w:rPr>
            <w:color w:val="17365D"/>
            <w:u w:val="single"/>
            <w:i/>
            <w:rFonts w:ascii="Aptos" w:hAnsi="Aptos"/>
            <w:sz w:val="16"/>
          </w:rPr>
          <w:t>111 Police emergency</w:t>
        </w:r>
      </w:hyperlink>
      <w:r>
        <w:rPr>
          <w:rFonts w:ascii="Aptos" w:hAnsi="Aptos"/>
          <w:color w:val="4D4D4D"/>
          <w:sz w:val="16"/>
        </w:rPr>
        <w:t>.</w:t>
      </w:r>
    </w:p>
    <w:p>
      <w:pPr>
        <w:pStyle w:val="Source"/>
        <w:spacing w:after="40"/>
      </w:pPr>
      <w:r>
        <w:rPr>
          <w:rFonts w:ascii="Aptos" w:hAnsi="Aptos"/>
          <w:b/>
          <w:color w:val="4D4D4D"/>
          <w:sz w:val="16"/>
        </w:rPr>
        <w:t xml:space="preserve">World Health Organization. (2023). </w:t>
      </w:r>
      <w:hyperlink r:id="rId22">
        <w:r>
          <w:rPr>
            <w:color w:val="17365D"/>
            <w:u w:val="single"/>
            <w:i/>
            <w:rFonts w:ascii="Aptos" w:hAnsi="Aptos"/>
            <w:sz w:val="16"/>
          </w:rPr>
          <w:t>Road traffic injuries</w:t>
        </w:r>
      </w:hyperlink>
      <w:r>
        <w:rPr>
          <w:rFonts w:ascii="Aptos" w:hAnsi="Aptos"/>
          <w:color w:val="4D4D4D"/>
          <w:sz w:val="16"/>
        </w:rPr>
        <w:t>.</w:t>
      </w:r>
    </w:p>
    <w:p>
      <w:pPr>
        <w:pStyle w:val="Heading1"/>
        <w:keepNext/>
        <w:spacing w:before="160" w:after="60"/>
        <w:jc w:val="both"/>
      </w:pPr>
      <w:r>
        <w:rPr>
          <w:rFonts w:ascii="Georgia Pro" w:hAnsi="Georgia Pro"/>
          <w:b w:val="0"/>
          <w:color w:val="000000"/>
          <w:sz w:val="28"/>
        </w:rPr>
        <w:t>About the National Road Trauma Centre</w:t>
      </w:r>
    </w:p>
    <w:p>
      <w:pPr>
        <w:spacing w:after="60" w:line="240" w:lineRule="auto"/>
        <w:jc w:val="both"/>
      </w:pPr>
      <w:r>
        <w:rPr>
          <w:rFonts w:ascii="Aptos" w:hAnsi="Aptos"/>
          <w:color w:val="202020"/>
          <w:sz w:val="20"/>
        </w:rPr>
        <w:t>The Road Traffic Accident Trauma Charitable Trust trading as National Road Trauma Centre works across harm prevention, emergency response, healthcare, rehabilitation and recovery.</w:t>
      </w:r>
    </w:p>
    <w:p>
      <w:pPr>
        <w:spacing w:after="60" w:line="240" w:lineRule="auto"/>
        <w:jc w:val="both"/>
      </w:pPr>
      <w:r>
        <w:rPr>
          <w:rFonts w:ascii="Aptos" w:hAnsi="Aptos"/>
          <w:color w:val="202020"/>
          <w:sz w:val="20"/>
        </w:rPr>
        <w:t>The National Road Trauma Centre Resource Hub is a New Zealand-first initiative specifically designed around the needs and experiences of people affected by road trauma in Aotearoa New Zealand. It brings together clear, trusted and neutral information grounded in current evidence, New Zealand government guidance and evidence-based practice.</w:t>
      </w:r>
    </w:p>
    <w:p>
      <w:pPr>
        <w:spacing w:after="60" w:line="240" w:lineRule="auto"/>
        <w:jc w:val="both"/>
      </w:pPr>
      <w:r>
        <w:rPr>
          <w:rFonts w:ascii="Aptos" w:hAnsi="Aptos"/>
          <w:color w:val="202020"/>
          <w:sz w:val="20"/>
        </w:rPr>
        <w:t>The National Road Trauma Centre Resource Hub is intended for anyone seeking to understand road trauma, including people navigating their own recovery, families and whānau, general practitioners and other healthcare professionals, emergency services, community organisations, and people who simply want to learn more. It supports self-navigation and informed conversations about care, services and recovery.</w:t>
      </w:r>
    </w:p>
    <w:p>
      <w:pPr>
        <w:spacing w:after="60" w:line="240" w:lineRule="auto"/>
        <w:jc w:val="both"/>
      </w:pPr>
      <w:r>
        <w:rPr>
          <w:rFonts w:ascii="Aptos" w:hAnsi="Aptos"/>
          <w:color w:val="202020"/>
          <w:sz w:val="20"/>
        </w:rPr>
        <w:t>The National Road Trauma Centre Resource Hub connects trusted information and services without replacing government agencies, emergency services, healthcare providers or support organisations.</w:t>
      </w:r>
    </w:p>
    <w:p>
      <w:pPr>
        <w:spacing w:before="80"/>
      </w:pPr>
      <w:r>
        <w:rPr>
          <w:rFonts w:ascii="Aptos" w:hAnsi="Aptos"/>
          <w:b/>
          <w:color w:val="202020"/>
          <w:sz w:val="20"/>
        </w:rPr>
        <w:t>If someone is in immediate danger or may be seriously injured, call 111.</w:t>
      </w:r>
    </w:p>
    <w:sectPr w:rsidR="00194439" w:rsidRPr="00194439" w:rsidSect="00034616">
      <w:footerReference w:type="default" r:id="rId15"/>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DF519" w14:textId="77777777" w:rsidR="00F051CD" w:rsidRDefault="00F051CD">
      <w:pPr>
        <w:spacing w:after="0" w:line="240" w:lineRule="auto"/>
      </w:pPr>
      <w:r>
        <w:separator/>
      </w:r>
    </w:p>
  </w:endnote>
  <w:endnote w:type="continuationSeparator" w:id="0">
    <w:p w14:paraId="66237DFF" w14:textId="77777777" w:rsidR="00F051CD" w:rsidRDefault="00F05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02C0" w14:textId="499D51D5" w:rsidR="008F51C0" w:rsidRPr="00481C1C" w:rsidRDefault="00000000">
    <w:pPr>
      <w:pStyle w:val="Footer"/>
      <w:jc w:val="center"/>
      <w:rPr>
        <w:rFonts w:asciiTheme="majorHAnsi" w:hAnsiTheme="majorHAnsi" w:cstheme="majorHAnsi"/>
      </w:rPr>
    </w:pPr>
    <w:r w:rsidRPr="00481C1C">
      <w:rPr>
        <w:rFonts w:asciiTheme="majorHAnsi" w:hAnsiTheme="majorHAnsi" w:cstheme="majorHAnsi"/>
        <w:color w:val="666666"/>
        <w:sz w:val="15"/>
      </w:rPr>
      <w:t xml:space="preserve">Road Traffic Accident Trauma Charitable Trust trading as National Road Trauma </w:t>
    </w:r>
    <w:proofErr w:type="gramStart"/>
    <w:r w:rsidRPr="00481C1C">
      <w:rPr>
        <w:rFonts w:asciiTheme="majorHAnsi" w:hAnsiTheme="majorHAnsi" w:cstheme="majorHAnsi"/>
        <w:color w:val="666666"/>
        <w:sz w:val="15"/>
      </w:rPr>
      <w:t>Centre  |</w:t>
    </w:r>
    <w:proofErr w:type="gramEnd"/>
    <w:r w:rsidRPr="00481C1C">
      <w:rPr>
        <w:rFonts w:asciiTheme="majorHAnsi" w:hAnsiTheme="majorHAnsi" w:cstheme="majorHAnsi"/>
        <w:color w:val="666666"/>
        <w:sz w:val="15"/>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B4E05" w14:textId="77777777" w:rsidR="00F051CD" w:rsidRDefault="00F051CD">
      <w:pPr>
        <w:spacing w:after="0" w:line="240" w:lineRule="auto"/>
      </w:pPr>
      <w:r>
        <w:separator/>
      </w:r>
    </w:p>
  </w:footnote>
  <w:footnote w:type="continuationSeparator" w:id="0">
    <w:p w14:paraId="66F693B3" w14:textId="77777777" w:rsidR="00F051CD" w:rsidRDefault="00F051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1011240"/>
    <w:multiLevelType w:val="hybridMultilevel"/>
    <w:tmpl w:val="85601EF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755787212">
    <w:abstractNumId w:val="8"/>
  </w:num>
  <w:num w:numId="2" w16cid:durableId="1104224912">
    <w:abstractNumId w:val="6"/>
  </w:num>
  <w:num w:numId="3" w16cid:durableId="1590499642">
    <w:abstractNumId w:val="5"/>
  </w:num>
  <w:num w:numId="4" w16cid:durableId="831337615">
    <w:abstractNumId w:val="4"/>
  </w:num>
  <w:num w:numId="5" w16cid:durableId="1509522400">
    <w:abstractNumId w:val="7"/>
  </w:num>
  <w:num w:numId="6" w16cid:durableId="417480318">
    <w:abstractNumId w:val="3"/>
  </w:num>
  <w:num w:numId="7" w16cid:durableId="997342887">
    <w:abstractNumId w:val="2"/>
  </w:num>
  <w:num w:numId="8" w16cid:durableId="171452215">
    <w:abstractNumId w:val="1"/>
  </w:num>
  <w:num w:numId="9" w16cid:durableId="43994300">
    <w:abstractNumId w:val="0"/>
  </w:num>
  <w:num w:numId="10" w16cid:durableId="108819339">
    <w:abstractNumId w:val="9"/>
  </w:num>
  <w:num w:numId="11" w16cid:durableId="867137720">
    <w:abstractNumId w:val="8"/>
  </w:num>
  <w:num w:numId="12" w16cid:durableId="15035436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439"/>
    <w:rsid w:val="0029639D"/>
    <w:rsid w:val="002B76AC"/>
    <w:rsid w:val="00326F90"/>
    <w:rsid w:val="00454352"/>
    <w:rsid w:val="00481C1C"/>
    <w:rsid w:val="008B2153"/>
    <w:rsid w:val="008F51C0"/>
    <w:rsid w:val="00AA1D8D"/>
    <w:rsid w:val="00B47730"/>
    <w:rsid w:val="00CB0664"/>
    <w:rsid w:val="00DB1862"/>
    <w:rsid w:val="00E64A4F"/>
    <w:rsid w:val="00F051CD"/>
    <w:rsid w:val="00FC1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208C9E"/>
  <w14:defaultImageDpi w14:val="30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int/publications/m/item/global-plan-for-the-decade-of-action-for-road-safety-2021-20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port.govt.nz/assets/Road-Safety-Objectives-Report-Q2-2026-002.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roadcode/general-road-code/overview/creating-a-safe-road-syste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ransport.govt.nz/area-of-interest/safety/new-zealands-road-safety-objectiv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olice.govt.nz/advice-services/driving-and-road-safety" TargetMode="External"/><Relationship Id="rId18" Type="http://schemas.openxmlformats.org/officeDocument/2006/relationships/image" Target="media/image3.png"/><Relationship Id="rId19" Type="http://schemas.openxmlformats.org/officeDocument/2006/relationships/hyperlink" Target="https://www.healthnz.govt.nz/publications/major-trauma-annual-report-2024-25" TargetMode="External"/><Relationship Id="rId20" Type="http://schemas.openxmlformats.org/officeDocument/2006/relationships/hyperlink" Target="https://www.healthnz.govt.nz/hospitals-services/services-support/emergency-departments" TargetMode="External"/><Relationship Id="rId21" Type="http://schemas.openxmlformats.org/officeDocument/2006/relationships/hyperlink" Target="https://www.police.govt.nz/contact-us/111-police-emergency" TargetMode="External"/><Relationship Id="rId22" Type="http://schemas.openxmlformats.org/officeDocument/2006/relationships/hyperlink" Target="https://www.who.int/news-room/fact-sheets/detail/road-traffic-inju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How Road Trauma Affects the Body</vt:lpstr>
    </vt:vector>
  </TitlesOfParts>
  <Manager>National Road Trauma Centre</Manager>
  <Company>Road Traffic Accident Trauma Charitable Trust</Company>
  <LinksUpToDate>false</LinksUpToDate>
  <CharactersWithSpaces>5050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Road Trauma Affects the Body</dc:title>
  <dc:subject>National Road Trauma Centre Resource Hub</dc:subject>
  <dc:creator>National Road Trauma Centre</dc:creator>
  <cp:keywords>road trauma, road safety, safe system, New Zealand, National Road Trauma Centre Resource Hub</cp:keywords>
  <dc:description/>
  <cp:lastModifiedBy>Sarah Dean</cp:lastModifiedBy>
  <cp:revision>5</cp:revision>
  <dcterms:created xsi:type="dcterms:W3CDTF">2013-12-23T23:15:00Z</dcterms:created>
  <dcterms:modified xsi:type="dcterms:W3CDTF">2026-09-11T03:39:00Z</dcterms:modified>
  <cp:category>Public Information Resource</cp:category>
</cp:coreProperties>
</file>